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B2" w:rsidRDefault="00817831" w:rsidP="00976C70">
      <w:pPr>
        <w:jc w:val="center"/>
        <w:rPr>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9.7pt;width:442.15pt;height:43pt;z-index:251659264;mso-position-horizontal-relative:text;mso-position-vertical-relative:text">
            <v:imagedata r:id="rId5" o:title=""/>
          </v:shape>
          <o:OLEObject Type="Embed" ProgID="CorelDRAW.Graphic.13" ShapeID="_x0000_s1026" DrawAspect="Content" ObjectID="_1361446359" r:id="rId6"/>
        </w:pict>
      </w:r>
    </w:p>
    <w:p w:rsidR="00055AB2" w:rsidRDefault="00055AB2" w:rsidP="00055AB2">
      <w:pPr>
        <w:jc w:val="center"/>
        <w:rPr>
          <w:b/>
          <w:sz w:val="36"/>
          <w:szCs w:val="36"/>
        </w:rPr>
      </w:pPr>
    </w:p>
    <w:p w:rsidR="00976C70" w:rsidRPr="00976C70" w:rsidRDefault="00976C70" w:rsidP="00055AB2">
      <w:pPr>
        <w:jc w:val="center"/>
        <w:rPr>
          <w:b/>
          <w:sz w:val="36"/>
          <w:szCs w:val="36"/>
        </w:rPr>
      </w:pPr>
      <w:r w:rsidRPr="00976C70">
        <w:rPr>
          <w:b/>
          <w:sz w:val="36"/>
          <w:szCs w:val="36"/>
        </w:rPr>
        <w:t>Universidad de Guadalajara</w:t>
      </w:r>
    </w:p>
    <w:p w:rsidR="00976C70" w:rsidRPr="00976C70" w:rsidRDefault="00976C70" w:rsidP="00976C70">
      <w:pPr>
        <w:jc w:val="center"/>
        <w:rPr>
          <w:b/>
        </w:rPr>
      </w:pPr>
    </w:p>
    <w:p w:rsidR="00976C70" w:rsidRPr="00976C70" w:rsidRDefault="00976C70" w:rsidP="00976C70">
      <w:pPr>
        <w:jc w:val="center"/>
        <w:rPr>
          <w:b/>
        </w:rPr>
      </w:pPr>
      <w:r w:rsidRPr="00976C70">
        <w:rPr>
          <w:b/>
        </w:rPr>
        <w:t xml:space="preserve">FONDO CONCURRENTE PARA INCREMENTO DE LA MATRICUAL EN EDUCACION SUPERIOR DE LAS UNIVERSIDADES </w:t>
      </w:r>
      <w:r w:rsidR="00414954" w:rsidRPr="00976C70">
        <w:rPr>
          <w:b/>
        </w:rPr>
        <w:t>PÚBLICAS</w:t>
      </w:r>
      <w:r w:rsidRPr="00976C70">
        <w:rPr>
          <w:b/>
        </w:rPr>
        <w:t xml:space="preserve"> ESTATALES Y CON APOYO SOLIDARIO 2009</w:t>
      </w:r>
    </w:p>
    <w:p w:rsidR="00976C70" w:rsidRPr="00976C70" w:rsidRDefault="00976C70" w:rsidP="00976C70">
      <w:pPr>
        <w:jc w:val="center"/>
        <w:rPr>
          <w:b/>
        </w:rPr>
      </w:pPr>
      <w:r w:rsidRPr="00976C70">
        <w:rPr>
          <w:b/>
        </w:rPr>
        <w:t>INFORME ACADÉMICO</w:t>
      </w:r>
    </w:p>
    <w:p w:rsidR="00976C70" w:rsidRDefault="00976C70" w:rsidP="00144C23">
      <w:pPr>
        <w:jc w:val="both"/>
      </w:pPr>
    </w:p>
    <w:p w:rsidR="00DC66A7" w:rsidRDefault="00144C23" w:rsidP="00144C23">
      <w:pPr>
        <w:jc w:val="both"/>
      </w:pPr>
      <w:r>
        <w:t>Los recursos obtenidos por la Universidad de Guadalajara en el año 2009 a través del Fondo Concurrente para Incremento de la Matrícula de las Universidades Públicas Estatales y con apoyo solidario, permitieron realizar una serie de acciones relacionadas tanto con la habilitación y equipamiento de espacios destinados al desarrollo de actividades académicas, como con el desarrollo de infraestructura física.</w:t>
      </w:r>
    </w:p>
    <w:p w:rsidR="00144C23" w:rsidRDefault="00144C23" w:rsidP="00144C23">
      <w:pPr>
        <w:jc w:val="both"/>
      </w:pPr>
      <w:r>
        <w:t>El proyecto 2009 de la institución se caracterizó por buscar un equilibrio entre equipamiento y construcción, esto para garantizar que se no se orientaran de forma excesiva en una sola dirección, esto es que, por ejemplo, se contara con infraestructura física pero sin los equipos adecuados para su funcionamiento.</w:t>
      </w:r>
    </w:p>
    <w:p w:rsidR="00144C23" w:rsidRDefault="00144C23" w:rsidP="00144C23">
      <w:pPr>
        <w:jc w:val="both"/>
      </w:pPr>
      <w:r>
        <w:t xml:space="preserve">De esta manera, durante los años 2009 y 2010 (durante los cuales se ejerció el recurso) se dotó de infraestructura física a los programas de licenciatura en Ingeniería Industrial, Ingeniería Química, Administración y Derecho del CUCIÉNEGA, se rehabilitaron 25 aulas del CUCSH, se doto de infraestructura a los programas de </w:t>
      </w:r>
      <w:r w:rsidR="00976C70">
        <w:t xml:space="preserve"> licenciatura en </w:t>
      </w:r>
      <w:proofErr w:type="spellStart"/>
      <w:r w:rsidR="00976C70">
        <w:t>Agronegocios</w:t>
      </w:r>
      <w:proofErr w:type="spellEnd"/>
      <w:r w:rsidR="00976C70">
        <w:t xml:space="preserve"> del </w:t>
      </w:r>
      <w:r w:rsidRPr="00144C23">
        <w:t xml:space="preserve">CUCBA,  </w:t>
      </w:r>
      <w:r w:rsidR="00976C70">
        <w:t xml:space="preserve">la </w:t>
      </w:r>
      <w:r w:rsidRPr="00144C23">
        <w:t xml:space="preserve">Maestría en Administración de negocios, Licenciatura en Telemática, Licenciatura en Periodismo, Licenciatura en </w:t>
      </w:r>
      <w:proofErr w:type="spellStart"/>
      <w:r w:rsidRPr="00144C23">
        <w:t>Agronegocios</w:t>
      </w:r>
      <w:proofErr w:type="spellEnd"/>
      <w:r w:rsidRPr="00144C23">
        <w:t xml:space="preserve">, </w:t>
      </w:r>
      <w:r w:rsidR="00976C70">
        <w:t xml:space="preserve">y </w:t>
      </w:r>
      <w:r w:rsidRPr="00144C23">
        <w:t>Lic</w:t>
      </w:r>
      <w:r w:rsidR="00976C70">
        <w:t xml:space="preserve">enciatura en Letras Hispánicas del </w:t>
      </w:r>
      <w:r w:rsidRPr="00144C23">
        <w:t>CUSUR</w:t>
      </w:r>
      <w:r w:rsidR="00976C70">
        <w:t>,</w:t>
      </w:r>
      <w:r w:rsidRPr="00144C23">
        <w:t xml:space="preserve"> </w:t>
      </w:r>
      <w:r w:rsidR="00976C70">
        <w:t xml:space="preserve">la </w:t>
      </w:r>
      <w:r w:rsidRPr="00144C23">
        <w:t>Licenc</w:t>
      </w:r>
      <w:r w:rsidR="00976C70">
        <w:t xml:space="preserve">iatura en Comunicación Pública y la </w:t>
      </w:r>
      <w:r w:rsidRPr="00144C23">
        <w:t>Licenciatu</w:t>
      </w:r>
      <w:r w:rsidR="00976C70">
        <w:t xml:space="preserve">ra en Antropología del </w:t>
      </w:r>
      <w:r w:rsidRPr="00144C23">
        <w:t xml:space="preserve">CUCSH, </w:t>
      </w:r>
      <w:r w:rsidR="00976C70">
        <w:t xml:space="preserve">la </w:t>
      </w:r>
      <w:r w:rsidRPr="00144C23">
        <w:t xml:space="preserve">Ingeniería en procesos industriales, Maestría en Análisis Tributario, Maestría en Finanzas Empresariales, Licenciatura en Ingeniería </w:t>
      </w:r>
      <w:proofErr w:type="spellStart"/>
      <w:r w:rsidRPr="00144C23">
        <w:t>Mecatrónica</w:t>
      </w:r>
      <w:proofErr w:type="spellEnd"/>
      <w:r w:rsidRPr="00144C23">
        <w:t xml:space="preserve">, Licenciatura Agronomía, </w:t>
      </w:r>
      <w:r w:rsidR="00976C70">
        <w:t xml:space="preserve">y la </w:t>
      </w:r>
      <w:r w:rsidRPr="00144C23">
        <w:t>L</w:t>
      </w:r>
      <w:r w:rsidR="00976C70">
        <w:t xml:space="preserve">icenciatura en Biología Marina del </w:t>
      </w:r>
      <w:r w:rsidRPr="00144C23">
        <w:t xml:space="preserve">CUCOSTASUR, </w:t>
      </w:r>
      <w:r w:rsidR="00976C70">
        <w:t xml:space="preserve">la </w:t>
      </w:r>
      <w:r w:rsidRPr="00144C23">
        <w:t xml:space="preserve">Licenciatura en Medicina, Licenciatura en Enfermería, </w:t>
      </w:r>
      <w:r w:rsidR="00976C70">
        <w:t xml:space="preserve">y la Licenciatura en Biología del </w:t>
      </w:r>
      <w:r w:rsidRPr="00144C23">
        <w:t xml:space="preserve">CUCOSTA, </w:t>
      </w:r>
      <w:r w:rsidR="00976C70">
        <w:t xml:space="preserve">y la </w:t>
      </w:r>
      <w:r w:rsidRPr="00144C23">
        <w:t>Licenciatura en Humanidades, Licenciat</w:t>
      </w:r>
      <w:r w:rsidR="00976C70">
        <w:t xml:space="preserve">ura en Sistemas de Información del </w:t>
      </w:r>
      <w:r w:rsidRPr="00144C23">
        <w:t>CULAGOS</w:t>
      </w:r>
      <w:r w:rsidR="00976C70">
        <w:t>.</w:t>
      </w:r>
    </w:p>
    <w:p w:rsidR="009B1C0C" w:rsidRDefault="009B1C0C" w:rsidP="00144C23">
      <w:pPr>
        <w:jc w:val="both"/>
      </w:pPr>
      <w:r>
        <w:t>Debe señalarse que si bien la Universidad de Guadalajara no ha podido ampliar su cobertura de tal forma que hay un decremento drástico en cuanto al número de alumnos que ingresan por primera vez, los apoyos obtenidos han permitido que la institución por sí misma aporte</w:t>
      </w:r>
      <w:r w:rsidRPr="00B60C34">
        <w:t xml:space="preserve"> el punto porcentual </w:t>
      </w:r>
      <w:r>
        <w:t xml:space="preserve">en el </w:t>
      </w:r>
      <w:r w:rsidRPr="00B60C34">
        <w:t xml:space="preserve">que </w:t>
      </w:r>
      <w:r>
        <w:t xml:space="preserve">se </w:t>
      </w:r>
      <w:r w:rsidRPr="00B60C34">
        <w:t>elevó la tasa de cobertura de educación superior en Jalisco, de 25.6 por ciento en 2008, a 26.6 por ciento en el año 2009.</w:t>
      </w:r>
    </w:p>
    <w:p w:rsidR="00055AB2" w:rsidRDefault="00817831" w:rsidP="00144C23">
      <w:pPr>
        <w:jc w:val="both"/>
      </w:pPr>
      <w:r>
        <w:rPr>
          <w:noProof/>
          <w:lang w:eastAsia="es-MX"/>
        </w:rPr>
        <w:lastRenderedPageBreak/>
        <w:pict>
          <v:shape id="_x0000_s1027" type="#_x0000_t75" style="position:absolute;left:0;text-align:left;margin-left:0;margin-top:-18.6pt;width:442pt;height:43pt;z-index:251660288;mso-position-horizontal-relative:text;mso-position-vertical-relative:text">
            <v:imagedata r:id="rId7" o:title=""/>
          </v:shape>
          <o:OLEObject Type="Embed" ProgID="CorelDRAW.Graphic.13" ShapeID="_x0000_s1027" DrawAspect="Content" ObjectID="_1361446360" r:id="rId8"/>
        </w:pict>
      </w:r>
    </w:p>
    <w:p w:rsidR="00055AB2" w:rsidRDefault="00055AB2" w:rsidP="00144C23">
      <w:pPr>
        <w:jc w:val="both"/>
      </w:pPr>
    </w:p>
    <w:p w:rsidR="00055AB2" w:rsidRDefault="00055AB2" w:rsidP="00E45DF8">
      <w:pPr>
        <w:spacing w:after="0" w:line="240" w:lineRule="auto"/>
        <w:jc w:val="both"/>
        <w:rPr>
          <w:rFonts w:eastAsia="Times New Roman" w:cstheme="minorHAnsi"/>
          <w:color w:val="000000"/>
          <w:lang w:eastAsia="es-MX"/>
        </w:rPr>
      </w:pPr>
    </w:p>
    <w:p w:rsidR="00E45DF8" w:rsidRDefault="00E45DF8" w:rsidP="00E45DF8">
      <w:pPr>
        <w:spacing w:after="0" w:line="240" w:lineRule="auto"/>
        <w:jc w:val="both"/>
        <w:rPr>
          <w:rFonts w:eastAsia="Times New Roman" w:cstheme="minorHAnsi"/>
          <w:color w:val="000000"/>
          <w:lang w:eastAsia="es-MX"/>
        </w:rPr>
      </w:pPr>
      <w:r w:rsidRPr="00E45DF8">
        <w:rPr>
          <w:rFonts w:eastAsia="Times New Roman" w:cstheme="minorHAnsi"/>
          <w:color w:val="000000"/>
          <w:lang w:eastAsia="es-MX"/>
        </w:rPr>
        <w:t xml:space="preserve">En la </w:t>
      </w:r>
      <w:r>
        <w:rPr>
          <w:rFonts w:eastAsia="Times New Roman" w:cstheme="minorHAnsi"/>
          <w:color w:val="000000"/>
          <w:lang w:eastAsia="es-MX"/>
        </w:rPr>
        <w:t>Tabla 1 se presenta el incremento de la matrícula en el año 2009 para los centros universitarios beneficiados a través del presente fondo.</w:t>
      </w:r>
    </w:p>
    <w:p w:rsidR="00E45DF8" w:rsidRDefault="00E45DF8" w:rsidP="00E45DF8">
      <w:pPr>
        <w:spacing w:after="0" w:line="240" w:lineRule="auto"/>
        <w:jc w:val="both"/>
        <w:rPr>
          <w:rFonts w:eastAsia="Times New Roman" w:cstheme="minorHAnsi"/>
          <w:color w:val="000000"/>
          <w:lang w:eastAsia="es-MX"/>
        </w:rPr>
      </w:pPr>
    </w:p>
    <w:p w:rsidR="00E45DF8" w:rsidRDefault="00E45DF8" w:rsidP="00E45DF8">
      <w:pPr>
        <w:spacing w:after="0" w:line="240" w:lineRule="auto"/>
        <w:jc w:val="both"/>
        <w:rPr>
          <w:rFonts w:eastAsia="Times New Roman" w:cstheme="minorHAnsi"/>
          <w:color w:val="000000"/>
          <w:lang w:eastAsia="es-MX"/>
        </w:rPr>
      </w:pPr>
    </w:p>
    <w:p w:rsidR="00E45DF8" w:rsidRPr="00E45DF8" w:rsidRDefault="00E45DF8" w:rsidP="00E45DF8">
      <w:pPr>
        <w:spacing w:after="0" w:line="240" w:lineRule="auto"/>
        <w:jc w:val="both"/>
        <w:rPr>
          <w:rFonts w:eastAsia="Times New Roman" w:cstheme="minorHAnsi"/>
          <w:color w:val="000000"/>
          <w:lang w:eastAsia="es-MX"/>
        </w:rPr>
      </w:pPr>
    </w:p>
    <w:p w:rsidR="00E45DF8" w:rsidRPr="00E45DF8" w:rsidRDefault="00E45DF8" w:rsidP="00E45DF8">
      <w:pPr>
        <w:spacing w:after="0" w:line="240" w:lineRule="auto"/>
        <w:jc w:val="center"/>
        <w:rPr>
          <w:rFonts w:eastAsia="Times New Roman" w:cstheme="minorHAnsi"/>
          <w:b/>
          <w:bCs/>
          <w:smallCaps/>
          <w:lang w:eastAsia="es-MX"/>
        </w:rPr>
      </w:pPr>
      <w:r w:rsidRPr="00E45DF8">
        <w:rPr>
          <w:rFonts w:eastAsia="Times New Roman" w:cstheme="minorHAnsi"/>
          <w:b/>
          <w:bCs/>
          <w:smallCaps/>
          <w:lang w:eastAsia="es-MX"/>
        </w:rPr>
        <w:t xml:space="preserve">Tabla </w:t>
      </w:r>
      <w:r>
        <w:rPr>
          <w:rFonts w:eastAsia="Times New Roman" w:cstheme="minorHAnsi"/>
          <w:b/>
          <w:bCs/>
          <w:smallCaps/>
          <w:lang w:eastAsia="es-MX"/>
        </w:rPr>
        <w:t>1</w:t>
      </w:r>
    </w:p>
    <w:p w:rsidR="00E45DF8" w:rsidRPr="00E45DF8" w:rsidRDefault="00E45DF8" w:rsidP="00E45DF8">
      <w:pPr>
        <w:spacing w:after="0" w:line="240" w:lineRule="auto"/>
        <w:jc w:val="center"/>
        <w:rPr>
          <w:rFonts w:eastAsia="Times New Roman" w:cstheme="minorHAnsi"/>
          <w:b/>
          <w:bCs/>
          <w:smallCaps/>
          <w:lang w:eastAsia="es-MX"/>
        </w:rPr>
      </w:pPr>
      <w:r w:rsidRPr="00E45DF8">
        <w:rPr>
          <w:rFonts w:eastAsia="Times New Roman" w:cstheme="minorHAnsi"/>
          <w:b/>
          <w:bCs/>
          <w:smallCaps/>
          <w:lang w:eastAsia="es-MX"/>
        </w:rPr>
        <w:t>Matrícula por Centro Universitario beneficiados con recursos del Fondo concurrente para Incremento de la Matrícula 2009</w:t>
      </w:r>
    </w:p>
    <w:tbl>
      <w:tblPr>
        <w:tblW w:w="5000" w:type="pct"/>
        <w:tblBorders>
          <w:top w:val="single" w:sz="8" w:space="0" w:color="C0504D"/>
          <w:bottom w:val="single" w:sz="8" w:space="0" w:color="C0504D"/>
        </w:tblBorders>
        <w:tblLook w:val="04A0" w:firstRow="1" w:lastRow="0" w:firstColumn="1" w:lastColumn="0" w:noHBand="0" w:noVBand="1"/>
      </w:tblPr>
      <w:tblGrid>
        <w:gridCol w:w="4358"/>
        <w:gridCol w:w="2348"/>
        <w:gridCol w:w="2348"/>
      </w:tblGrid>
      <w:tr w:rsidR="00E45DF8" w:rsidRPr="00E45DF8" w:rsidTr="009476DB">
        <w:trPr>
          <w:trHeight w:val="20"/>
        </w:trPr>
        <w:tc>
          <w:tcPr>
            <w:tcW w:w="2568" w:type="pct"/>
            <w:tcBorders>
              <w:top w:val="nil"/>
              <w:bottom w:val="single" w:sz="8" w:space="0" w:color="C0504D"/>
            </w:tcBorders>
            <w:noWrap/>
            <w:hideMark/>
          </w:tcPr>
          <w:p w:rsidR="00E45DF8" w:rsidRPr="00E45DF8" w:rsidRDefault="00E45DF8" w:rsidP="009476DB">
            <w:pPr>
              <w:spacing w:after="0" w:line="240" w:lineRule="auto"/>
              <w:rPr>
                <w:rFonts w:eastAsia="Times New Roman" w:cstheme="minorHAnsi"/>
                <w:b/>
                <w:bCs/>
                <w:smallCaps/>
                <w:color w:val="000000"/>
                <w:lang w:eastAsia="es-MX"/>
              </w:rPr>
            </w:pPr>
            <w:r w:rsidRPr="00E45DF8">
              <w:rPr>
                <w:rFonts w:eastAsia="Times New Roman" w:cstheme="minorHAnsi"/>
                <w:b/>
                <w:smallCaps/>
                <w:color w:val="000000"/>
                <w:lang w:eastAsia="es-MX"/>
              </w:rPr>
              <w:t>Entidad Universitaria / Programa Educativo</w:t>
            </w:r>
          </w:p>
        </w:tc>
        <w:tc>
          <w:tcPr>
            <w:tcW w:w="1216" w:type="pct"/>
            <w:tcBorders>
              <w:top w:val="nil"/>
              <w:bottom w:val="single" w:sz="8" w:space="0" w:color="C0504D"/>
            </w:tcBorders>
            <w:noWrap/>
            <w:hideMark/>
          </w:tcPr>
          <w:p w:rsidR="00E45DF8" w:rsidRPr="00E45DF8" w:rsidRDefault="00E45DF8" w:rsidP="00A418EB">
            <w:pPr>
              <w:spacing w:after="0" w:line="240" w:lineRule="auto"/>
              <w:jc w:val="center"/>
              <w:rPr>
                <w:rFonts w:eastAsia="Times New Roman" w:cstheme="minorHAnsi"/>
                <w:b/>
                <w:smallCaps/>
                <w:color w:val="000000"/>
                <w:lang w:eastAsia="es-MX"/>
              </w:rPr>
            </w:pPr>
            <w:r w:rsidRPr="00E45DF8">
              <w:rPr>
                <w:rFonts w:eastAsia="Times New Roman" w:cstheme="minorHAnsi"/>
                <w:b/>
                <w:smallCaps/>
                <w:color w:val="000000"/>
                <w:lang w:eastAsia="es-MX"/>
              </w:rPr>
              <w:t>Matrícula Total Ciclo Escolar 200</w:t>
            </w:r>
            <w:r w:rsidR="00A418EB">
              <w:rPr>
                <w:rFonts w:eastAsia="Times New Roman" w:cstheme="minorHAnsi"/>
                <w:b/>
                <w:smallCaps/>
                <w:color w:val="000000"/>
                <w:lang w:eastAsia="es-MX"/>
              </w:rPr>
              <w:t>8</w:t>
            </w:r>
            <w:r w:rsidRPr="00E45DF8">
              <w:rPr>
                <w:rFonts w:eastAsia="Times New Roman" w:cstheme="minorHAnsi"/>
                <w:b/>
                <w:smallCaps/>
                <w:color w:val="000000"/>
                <w:lang w:eastAsia="es-MX"/>
              </w:rPr>
              <w:t>-200</w:t>
            </w:r>
            <w:r w:rsidR="00A418EB">
              <w:rPr>
                <w:rFonts w:eastAsia="Times New Roman" w:cstheme="minorHAnsi"/>
                <w:b/>
                <w:smallCaps/>
                <w:color w:val="000000"/>
                <w:lang w:eastAsia="es-MX"/>
              </w:rPr>
              <w:t>9</w:t>
            </w:r>
          </w:p>
        </w:tc>
        <w:tc>
          <w:tcPr>
            <w:tcW w:w="1216" w:type="pct"/>
            <w:tcBorders>
              <w:top w:val="nil"/>
              <w:bottom w:val="single" w:sz="8" w:space="0" w:color="C0504D"/>
            </w:tcBorders>
            <w:noWrap/>
            <w:hideMark/>
          </w:tcPr>
          <w:p w:rsidR="00E45DF8" w:rsidRPr="00E45DF8" w:rsidRDefault="00E45DF8" w:rsidP="00A418EB">
            <w:pPr>
              <w:spacing w:after="0" w:line="240" w:lineRule="auto"/>
              <w:jc w:val="center"/>
              <w:rPr>
                <w:rFonts w:eastAsia="Times New Roman" w:cstheme="minorHAnsi"/>
                <w:b/>
                <w:smallCaps/>
                <w:color w:val="000000"/>
                <w:lang w:eastAsia="es-MX"/>
              </w:rPr>
            </w:pPr>
            <w:r w:rsidRPr="00E45DF8">
              <w:rPr>
                <w:rFonts w:eastAsia="Times New Roman" w:cstheme="minorHAnsi"/>
                <w:b/>
                <w:smallCaps/>
                <w:color w:val="000000"/>
                <w:lang w:eastAsia="es-MX"/>
              </w:rPr>
              <w:t>Matrícula Total Ciclo Escolar 200</w:t>
            </w:r>
            <w:r w:rsidR="00A418EB">
              <w:rPr>
                <w:rFonts w:eastAsia="Times New Roman" w:cstheme="minorHAnsi"/>
                <w:b/>
                <w:smallCaps/>
                <w:color w:val="000000"/>
                <w:lang w:eastAsia="es-MX"/>
              </w:rPr>
              <w:t>9</w:t>
            </w:r>
            <w:r w:rsidRPr="00E45DF8">
              <w:rPr>
                <w:rFonts w:eastAsia="Times New Roman" w:cstheme="minorHAnsi"/>
                <w:b/>
                <w:smallCaps/>
                <w:color w:val="000000"/>
                <w:lang w:eastAsia="es-MX"/>
              </w:rPr>
              <w:t>-20</w:t>
            </w:r>
            <w:r w:rsidR="00A418EB">
              <w:rPr>
                <w:rFonts w:eastAsia="Times New Roman" w:cstheme="minorHAnsi"/>
                <w:b/>
                <w:smallCaps/>
                <w:color w:val="000000"/>
                <w:lang w:eastAsia="es-MX"/>
              </w:rPr>
              <w:t>10</w:t>
            </w:r>
          </w:p>
        </w:tc>
      </w:tr>
      <w:tr w:rsidR="00E45DF8" w:rsidRPr="00E45DF8" w:rsidTr="009476DB">
        <w:trPr>
          <w:trHeight w:val="20"/>
        </w:trPr>
        <w:tc>
          <w:tcPr>
            <w:tcW w:w="2568" w:type="pct"/>
            <w:shd w:val="clear" w:color="auto" w:fill="EFD3D2"/>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ARTE ARQUITECTURA Y DISEÑO (CUAAD)</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5,331</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5,530</w:t>
            </w:r>
          </w:p>
        </w:tc>
      </w:tr>
      <w:tr w:rsidR="00E45DF8" w:rsidRPr="00E45DF8" w:rsidTr="009476DB">
        <w:trPr>
          <w:trHeight w:val="20"/>
        </w:trPr>
        <w:tc>
          <w:tcPr>
            <w:tcW w:w="2568" w:type="pct"/>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CIENCIAS BIOLOGICAS Y AGROPECUARIAS (CUCBA)</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3,306</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3,541</w:t>
            </w:r>
          </w:p>
        </w:tc>
      </w:tr>
      <w:tr w:rsidR="00E45DF8" w:rsidRPr="00E45DF8" w:rsidTr="009476DB">
        <w:trPr>
          <w:trHeight w:val="20"/>
        </w:trPr>
        <w:tc>
          <w:tcPr>
            <w:tcW w:w="2568" w:type="pct"/>
            <w:shd w:val="clear" w:color="auto" w:fill="EFD3D2"/>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CIENCIAS DE LA SALUD (CUCS)</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11,401</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11,528</w:t>
            </w:r>
          </w:p>
        </w:tc>
      </w:tr>
      <w:tr w:rsidR="00E45DF8" w:rsidRPr="00E45DF8" w:rsidTr="009476DB">
        <w:trPr>
          <w:trHeight w:val="20"/>
        </w:trPr>
        <w:tc>
          <w:tcPr>
            <w:tcW w:w="2568" w:type="pct"/>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CIENCIAS EXACTAS E INGENIERIA (CUCEI)</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11,288</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11,536</w:t>
            </w:r>
          </w:p>
        </w:tc>
      </w:tr>
      <w:tr w:rsidR="00E45DF8" w:rsidRPr="00E45DF8" w:rsidTr="009476DB">
        <w:trPr>
          <w:trHeight w:val="20"/>
        </w:trPr>
        <w:tc>
          <w:tcPr>
            <w:tcW w:w="2568" w:type="pct"/>
            <w:shd w:val="clear" w:color="auto" w:fill="EFD3D2"/>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CIENCIAS SOCIALES Y HUMANIDADES (CUCSH)</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9,204</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9,113</w:t>
            </w:r>
          </w:p>
        </w:tc>
      </w:tr>
      <w:tr w:rsidR="00E45DF8" w:rsidRPr="00E45DF8" w:rsidTr="009476DB">
        <w:trPr>
          <w:trHeight w:val="20"/>
        </w:trPr>
        <w:tc>
          <w:tcPr>
            <w:tcW w:w="2568" w:type="pct"/>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LA CIENEGA (CUCIÉNEGA)</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5,025</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4,984</w:t>
            </w:r>
          </w:p>
        </w:tc>
      </w:tr>
      <w:tr w:rsidR="00E45DF8" w:rsidRPr="00E45DF8" w:rsidTr="009476DB">
        <w:trPr>
          <w:trHeight w:val="20"/>
        </w:trPr>
        <w:tc>
          <w:tcPr>
            <w:tcW w:w="2568" w:type="pct"/>
            <w:shd w:val="clear" w:color="auto" w:fill="EFD3D2"/>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LA COSTA</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4,449</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4,643</w:t>
            </w:r>
          </w:p>
        </w:tc>
      </w:tr>
      <w:tr w:rsidR="00E45DF8" w:rsidRPr="00E45DF8" w:rsidTr="009476DB">
        <w:trPr>
          <w:trHeight w:val="20"/>
        </w:trPr>
        <w:tc>
          <w:tcPr>
            <w:tcW w:w="2568" w:type="pct"/>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 LA COSTA SUR</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2,641</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3,007</w:t>
            </w:r>
          </w:p>
        </w:tc>
      </w:tr>
      <w:tr w:rsidR="00E45DF8" w:rsidRPr="00E45DF8" w:rsidTr="009476DB">
        <w:trPr>
          <w:trHeight w:val="20"/>
        </w:trPr>
        <w:tc>
          <w:tcPr>
            <w:tcW w:w="2568" w:type="pct"/>
            <w:shd w:val="clear" w:color="auto" w:fill="EFD3D2"/>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 xml:space="preserve">CENTRO UNIVERSITARIO DE LOS ALTOS </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2,600</w:t>
            </w:r>
          </w:p>
        </w:tc>
        <w:tc>
          <w:tcPr>
            <w:tcW w:w="1216" w:type="pct"/>
            <w:shd w:val="clear" w:color="auto" w:fill="EFD3D2"/>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2,832</w:t>
            </w:r>
          </w:p>
        </w:tc>
      </w:tr>
      <w:tr w:rsidR="00E45DF8" w:rsidRPr="00E45DF8" w:rsidTr="009476DB">
        <w:trPr>
          <w:trHeight w:val="20"/>
        </w:trPr>
        <w:tc>
          <w:tcPr>
            <w:tcW w:w="2568" w:type="pct"/>
            <w:noWrap/>
            <w:hideMark/>
          </w:tcPr>
          <w:p w:rsidR="00E45DF8" w:rsidRPr="00E45DF8" w:rsidRDefault="00E45DF8" w:rsidP="009476DB">
            <w:pPr>
              <w:spacing w:after="0" w:line="240" w:lineRule="auto"/>
              <w:rPr>
                <w:rFonts w:eastAsia="Times New Roman" w:cstheme="minorHAnsi"/>
                <w:b/>
                <w:bCs/>
                <w:color w:val="000000"/>
                <w:lang w:eastAsia="es-MX"/>
              </w:rPr>
            </w:pPr>
            <w:r w:rsidRPr="00E45DF8">
              <w:rPr>
                <w:rFonts w:eastAsia="Times New Roman" w:cstheme="minorHAnsi"/>
                <w:b/>
                <w:bCs/>
                <w:color w:val="000000"/>
                <w:lang w:eastAsia="es-MX"/>
              </w:rPr>
              <w:t>CENTRO UNIVERSITARIO DEL NORTE</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1,115</w:t>
            </w:r>
          </w:p>
        </w:tc>
        <w:tc>
          <w:tcPr>
            <w:tcW w:w="1216" w:type="pct"/>
            <w:noWrap/>
            <w:hideMark/>
          </w:tcPr>
          <w:p w:rsidR="00E45DF8" w:rsidRPr="00E45DF8" w:rsidRDefault="00E45DF8" w:rsidP="009476DB">
            <w:pPr>
              <w:spacing w:after="0" w:line="240" w:lineRule="auto"/>
              <w:jc w:val="center"/>
              <w:rPr>
                <w:rFonts w:eastAsia="Times New Roman" w:cstheme="minorHAnsi"/>
                <w:b/>
                <w:bCs/>
                <w:color w:val="000000"/>
                <w:lang w:eastAsia="es-MX"/>
              </w:rPr>
            </w:pPr>
            <w:r w:rsidRPr="00E45DF8">
              <w:rPr>
                <w:rFonts w:eastAsia="Times New Roman" w:cstheme="minorHAnsi"/>
                <w:b/>
                <w:bCs/>
                <w:color w:val="000000"/>
                <w:lang w:eastAsia="es-MX"/>
              </w:rPr>
              <w:t>1,363</w:t>
            </w:r>
          </w:p>
        </w:tc>
      </w:tr>
    </w:tbl>
    <w:p w:rsidR="00E45DF8" w:rsidRPr="00E45DF8" w:rsidRDefault="00E45DF8" w:rsidP="00E45DF8">
      <w:pPr>
        <w:spacing w:after="0" w:line="240" w:lineRule="auto"/>
        <w:rPr>
          <w:rFonts w:eastAsia="Times New Roman" w:cstheme="minorHAnsi"/>
          <w:sz w:val="16"/>
          <w:szCs w:val="16"/>
          <w:lang w:eastAsia="es-MX"/>
        </w:rPr>
      </w:pPr>
      <w:r w:rsidRPr="00E45DF8">
        <w:rPr>
          <w:rFonts w:eastAsia="Times New Roman" w:cstheme="minorHAnsi"/>
          <w:b/>
          <w:sz w:val="16"/>
          <w:szCs w:val="16"/>
          <w:lang w:eastAsia="es-MX"/>
        </w:rPr>
        <w:t>Fuente</w:t>
      </w:r>
      <w:r w:rsidRPr="00E45DF8">
        <w:rPr>
          <w:rFonts w:eastAsia="Times New Roman" w:cstheme="minorHAnsi"/>
          <w:sz w:val="16"/>
          <w:szCs w:val="16"/>
          <w:lang w:eastAsia="es-MX"/>
        </w:rPr>
        <w:t>: COPLADI a partir de la Información reportada a través de los Cuestionarios 911 de inicio de cursos 2008-2009 y 2009-2010 de Nivel Superior.</w:t>
      </w:r>
    </w:p>
    <w:p w:rsidR="00E45DF8" w:rsidRPr="00E45DF8" w:rsidRDefault="00E45DF8" w:rsidP="00E45DF8">
      <w:pPr>
        <w:spacing w:after="0" w:line="240" w:lineRule="auto"/>
        <w:rPr>
          <w:rFonts w:eastAsia="Times New Roman" w:cstheme="minorHAnsi"/>
          <w:noProof/>
          <w:lang w:eastAsia="es-ES"/>
        </w:rPr>
      </w:pPr>
    </w:p>
    <w:p w:rsidR="00E45DF8" w:rsidRPr="00E45DF8" w:rsidRDefault="00E45DF8" w:rsidP="00E45DF8">
      <w:pPr>
        <w:spacing w:after="0" w:line="240" w:lineRule="auto"/>
        <w:jc w:val="both"/>
        <w:rPr>
          <w:rFonts w:eastAsia="Times New Roman" w:cstheme="minorHAnsi"/>
          <w:color w:val="000000"/>
          <w:lang w:eastAsia="es-MX"/>
        </w:rPr>
      </w:pPr>
      <w:r>
        <w:rPr>
          <w:rFonts w:eastAsia="Times New Roman" w:cstheme="minorHAnsi"/>
          <w:color w:val="000000"/>
          <w:lang w:eastAsia="es-MX"/>
        </w:rPr>
        <w:t xml:space="preserve">En lo que refiere a infraestructura física, el financiamiento otorgado permitió dar </w:t>
      </w:r>
      <w:r w:rsidRPr="00E45DF8">
        <w:rPr>
          <w:rFonts w:eastAsia="Times New Roman" w:cstheme="minorHAnsi"/>
          <w:color w:val="000000"/>
          <w:lang w:eastAsia="es-MX"/>
        </w:rPr>
        <w:t>inicio a un total de trece obras para cinco CU de la zona metropolitana de Guadalajara y seis regionales.</w:t>
      </w:r>
      <w:r>
        <w:rPr>
          <w:rFonts w:eastAsia="Times New Roman" w:cstheme="minorHAnsi"/>
          <w:color w:val="000000"/>
          <w:lang w:eastAsia="es-MX"/>
        </w:rPr>
        <w:t xml:space="preserve"> El tipo de obra y el centro beneficiado se registra en la Tabla 2:</w:t>
      </w:r>
    </w:p>
    <w:p w:rsidR="00E45DF8" w:rsidRPr="00E45DF8" w:rsidRDefault="00E45DF8" w:rsidP="00E45DF8">
      <w:pPr>
        <w:spacing w:after="0" w:line="240" w:lineRule="auto"/>
        <w:jc w:val="both"/>
        <w:rPr>
          <w:rFonts w:eastAsia="Times New Roman" w:cstheme="minorHAnsi"/>
          <w:color w:val="000000"/>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055AB2" w:rsidP="00E45DF8">
      <w:pPr>
        <w:spacing w:after="0" w:line="240" w:lineRule="auto"/>
        <w:jc w:val="center"/>
        <w:rPr>
          <w:rFonts w:eastAsia="Times New Roman" w:cstheme="minorHAnsi"/>
          <w:b/>
          <w:bCs/>
          <w:smallCaps/>
          <w:lang w:eastAsia="es-MX"/>
        </w:rPr>
      </w:pPr>
    </w:p>
    <w:p w:rsidR="00055AB2" w:rsidRDefault="00817831" w:rsidP="00E45DF8">
      <w:pPr>
        <w:spacing w:after="0" w:line="240" w:lineRule="auto"/>
        <w:jc w:val="center"/>
        <w:rPr>
          <w:rFonts w:eastAsia="Times New Roman" w:cstheme="minorHAnsi"/>
          <w:b/>
          <w:bCs/>
          <w:smallCaps/>
          <w:lang w:eastAsia="es-MX"/>
        </w:rPr>
      </w:pPr>
      <w:r>
        <w:rPr>
          <w:rFonts w:eastAsia="Times New Roman" w:cstheme="minorHAnsi"/>
          <w:b/>
          <w:bCs/>
          <w:smallCaps/>
          <w:noProof/>
          <w:lang w:eastAsia="es-MX"/>
        </w:rPr>
        <w:lastRenderedPageBreak/>
        <w:pict>
          <v:shape id="_x0000_s1028" type="#_x0000_t75" style="position:absolute;left:0;text-align:left;margin-left:0;margin-top:-24.7pt;width:442pt;height:43pt;z-index:251661312;mso-position-horizontal-relative:text;mso-position-vertical-relative:text">
            <v:imagedata r:id="rId7" o:title=""/>
          </v:shape>
          <o:OLEObject Type="Embed" ProgID="CorelDRAW.Graphic.13" ShapeID="_x0000_s1028" DrawAspect="Content" ObjectID="_1361446361" r:id="rId9"/>
        </w:pict>
      </w:r>
    </w:p>
    <w:p w:rsidR="00055AB2" w:rsidRDefault="00055AB2" w:rsidP="00E45DF8">
      <w:pPr>
        <w:spacing w:after="0" w:line="240" w:lineRule="auto"/>
        <w:jc w:val="center"/>
        <w:rPr>
          <w:rFonts w:eastAsia="Times New Roman" w:cstheme="minorHAnsi"/>
          <w:b/>
          <w:bCs/>
          <w:smallCaps/>
          <w:lang w:eastAsia="es-MX"/>
        </w:rPr>
      </w:pPr>
    </w:p>
    <w:p w:rsidR="00E45DF8" w:rsidRPr="00E45DF8" w:rsidRDefault="00E45DF8" w:rsidP="00E45DF8">
      <w:pPr>
        <w:spacing w:after="0" w:line="240" w:lineRule="auto"/>
        <w:jc w:val="center"/>
        <w:rPr>
          <w:rFonts w:eastAsia="Times New Roman" w:cstheme="minorHAnsi"/>
          <w:b/>
          <w:bCs/>
          <w:smallCaps/>
          <w:lang w:eastAsia="es-MX"/>
        </w:rPr>
      </w:pPr>
      <w:r w:rsidRPr="00E45DF8">
        <w:rPr>
          <w:rFonts w:eastAsia="Times New Roman" w:cstheme="minorHAnsi"/>
          <w:b/>
          <w:bCs/>
          <w:smallCaps/>
          <w:lang w:eastAsia="es-MX"/>
        </w:rPr>
        <w:t xml:space="preserve">Tabla </w:t>
      </w:r>
      <w:r>
        <w:rPr>
          <w:rFonts w:eastAsia="Times New Roman" w:cstheme="minorHAnsi"/>
          <w:b/>
          <w:bCs/>
          <w:smallCaps/>
          <w:lang w:eastAsia="es-MX"/>
        </w:rPr>
        <w:t>2</w:t>
      </w:r>
    </w:p>
    <w:p w:rsidR="00E45DF8" w:rsidRPr="00E45DF8" w:rsidRDefault="00E45DF8" w:rsidP="00E45DF8">
      <w:pPr>
        <w:spacing w:after="0" w:line="240" w:lineRule="auto"/>
        <w:jc w:val="center"/>
        <w:rPr>
          <w:rFonts w:eastAsia="Times New Roman" w:cstheme="minorHAnsi"/>
          <w:b/>
          <w:bCs/>
          <w:smallCaps/>
          <w:lang w:eastAsia="es-MX"/>
        </w:rPr>
      </w:pPr>
      <w:r w:rsidRPr="00E45DF8">
        <w:rPr>
          <w:rFonts w:eastAsia="Times New Roman" w:cstheme="minorHAnsi"/>
          <w:b/>
          <w:bCs/>
          <w:smallCaps/>
          <w:lang w:eastAsia="es-MX"/>
        </w:rPr>
        <w:t>Relación de obras apoyadas con recursos del Fondo concurrente para Incremento de la Matrícula 2009</w:t>
      </w:r>
    </w:p>
    <w:p w:rsidR="00E45DF8" w:rsidRPr="00E45DF8" w:rsidRDefault="00E45DF8" w:rsidP="00E45DF8">
      <w:pPr>
        <w:tabs>
          <w:tab w:val="left" w:pos="700"/>
        </w:tabs>
        <w:spacing w:after="0" w:line="240" w:lineRule="auto"/>
        <w:jc w:val="right"/>
        <w:rPr>
          <w:rFonts w:eastAsia="Times New Roman" w:cstheme="minorHAnsi"/>
          <w:b/>
          <w:bCs/>
          <w:smallCaps/>
          <w:lang w:eastAsia="es-MX"/>
        </w:rPr>
      </w:pPr>
    </w:p>
    <w:tbl>
      <w:tblPr>
        <w:tblW w:w="5000" w:type="pct"/>
        <w:tblBorders>
          <w:top w:val="single" w:sz="8" w:space="0" w:color="C0504D"/>
          <w:bottom w:val="single" w:sz="8" w:space="0" w:color="C0504D"/>
        </w:tblBorders>
        <w:tblLook w:val="04A0" w:firstRow="1" w:lastRow="0" w:firstColumn="1" w:lastColumn="0" w:noHBand="0" w:noVBand="1"/>
      </w:tblPr>
      <w:tblGrid>
        <w:gridCol w:w="4109"/>
        <w:gridCol w:w="1829"/>
        <w:gridCol w:w="3116"/>
      </w:tblGrid>
      <w:tr w:rsidR="00E45DF8" w:rsidRPr="00E45DF8" w:rsidTr="009476DB">
        <w:trPr>
          <w:trHeight w:val="495"/>
        </w:trPr>
        <w:tc>
          <w:tcPr>
            <w:tcW w:w="2141" w:type="pct"/>
            <w:tcBorders>
              <w:top w:val="nil"/>
              <w:bottom w:val="single" w:sz="8" w:space="0" w:color="C0504D"/>
            </w:tcBorders>
            <w:hideMark/>
          </w:tcPr>
          <w:p w:rsidR="00E45DF8" w:rsidRPr="00E45DF8" w:rsidRDefault="00E45DF8" w:rsidP="00E45DF8">
            <w:pPr>
              <w:spacing w:after="0" w:line="240" w:lineRule="auto"/>
              <w:jc w:val="center"/>
              <w:rPr>
                <w:rFonts w:eastAsia="Times New Roman" w:cstheme="minorHAnsi"/>
                <w:b/>
                <w:bCs/>
                <w:smallCaps/>
                <w:lang w:eastAsia="es-ES"/>
              </w:rPr>
            </w:pPr>
            <w:r w:rsidRPr="00E45DF8">
              <w:rPr>
                <w:rFonts w:eastAsia="Times New Roman" w:cstheme="minorHAnsi"/>
                <w:b/>
                <w:bCs/>
                <w:smallCaps/>
                <w:lang w:eastAsia="es-ES"/>
              </w:rPr>
              <w:t>Ubicación del CU</w:t>
            </w:r>
          </w:p>
        </w:tc>
        <w:tc>
          <w:tcPr>
            <w:tcW w:w="1074" w:type="pct"/>
            <w:tcBorders>
              <w:top w:val="nil"/>
              <w:bottom w:val="single" w:sz="8" w:space="0" w:color="C0504D"/>
            </w:tcBorders>
            <w:hideMark/>
          </w:tcPr>
          <w:p w:rsidR="00E45DF8" w:rsidRPr="00E45DF8" w:rsidRDefault="00E45DF8" w:rsidP="00E45DF8">
            <w:pPr>
              <w:spacing w:after="0" w:line="240" w:lineRule="auto"/>
              <w:jc w:val="center"/>
              <w:rPr>
                <w:rFonts w:eastAsia="Times New Roman" w:cstheme="minorHAnsi"/>
                <w:b/>
                <w:bCs/>
                <w:smallCaps/>
                <w:lang w:eastAsia="es-ES"/>
              </w:rPr>
            </w:pPr>
            <w:r w:rsidRPr="00E45DF8">
              <w:rPr>
                <w:rFonts w:eastAsia="Times New Roman" w:cstheme="minorHAnsi"/>
                <w:b/>
                <w:bCs/>
                <w:smallCaps/>
                <w:lang w:eastAsia="es-ES"/>
              </w:rPr>
              <w:t>CU beneficiado</w:t>
            </w:r>
          </w:p>
        </w:tc>
        <w:tc>
          <w:tcPr>
            <w:tcW w:w="1785" w:type="pct"/>
            <w:tcBorders>
              <w:top w:val="nil"/>
              <w:bottom w:val="single" w:sz="8" w:space="0" w:color="C0504D"/>
            </w:tcBorders>
            <w:hideMark/>
          </w:tcPr>
          <w:p w:rsidR="00E45DF8" w:rsidRPr="00E45DF8" w:rsidRDefault="00E45DF8" w:rsidP="00E45DF8">
            <w:pPr>
              <w:spacing w:after="0" w:line="240" w:lineRule="auto"/>
              <w:jc w:val="center"/>
              <w:rPr>
                <w:rFonts w:eastAsia="Times New Roman" w:cstheme="minorHAnsi"/>
                <w:b/>
                <w:bCs/>
                <w:smallCaps/>
                <w:lang w:eastAsia="es-ES"/>
              </w:rPr>
            </w:pPr>
            <w:r w:rsidRPr="00E45DF8">
              <w:rPr>
                <w:rFonts w:eastAsia="Times New Roman" w:cstheme="minorHAnsi"/>
                <w:b/>
                <w:bCs/>
                <w:smallCaps/>
                <w:lang w:eastAsia="es-ES"/>
              </w:rPr>
              <w:t>Tipo de Obra</w:t>
            </w:r>
          </w:p>
        </w:tc>
      </w:tr>
      <w:tr w:rsidR="00E45DF8" w:rsidRPr="00E45DF8" w:rsidTr="009476DB">
        <w:trPr>
          <w:trHeight w:val="454"/>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Zona Metropolitana de Guadalajara (ZMG)</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CUCSH</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Rehabilitación de Aulas</w:t>
            </w:r>
          </w:p>
        </w:tc>
      </w:tr>
      <w:tr w:rsidR="00E45DF8" w:rsidRPr="00E45DF8" w:rsidTr="009476DB">
        <w:trPr>
          <w:trHeight w:val="285"/>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Regional (R)</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CUSUR</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aulas para posgrado</w:t>
            </w:r>
          </w:p>
        </w:tc>
      </w:tr>
      <w:tr w:rsidR="00E45DF8" w:rsidRPr="00E45DF8" w:rsidTr="009476DB">
        <w:trPr>
          <w:trHeight w:val="477"/>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ZMG</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CUCBA</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Laboratorio de aulas</w:t>
            </w:r>
          </w:p>
        </w:tc>
      </w:tr>
      <w:tr w:rsidR="00E45DF8" w:rsidRPr="00E45DF8" w:rsidTr="009476DB">
        <w:trPr>
          <w:trHeight w:val="665"/>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ZMG</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CUAAD</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espacios físicos para la Tutoría y atención integral de estudiantes</w:t>
            </w:r>
          </w:p>
        </w:tc>
      </w:tr>
      <w:tr w:rsidR="00E45DF8" w:rsidRPr="00E45DF8" w:rsidTr="009476DB">
        <w:trPr>
          <w:trHeight w:val="566"/>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CUCSOTA</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un edifico para actividades académicas</w:t>
            </w:r>
          </w:p>
        </w:tc>
      </w:tr>
      <w:tr w:rsidR="00E45DF8" w:rsidRPr="00E45DF8" w:rsidTr="009476DB">
        <w:trPr>
          <w:trHeight w:val="701"/>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CUCSUR</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un Edificio con aul</w:t>
            </w:r>
            <w:r w:rsidRPr="00E45DF8">
              <w:rPr>
                <w:rFonts w:eastAsia="Times New Roman" w:cstheme="minorHAnsi"/>
                <w:color w:val="000000"/>
                <w:lang w:eastAsia="es-ES"/>
              </w:rPr>
              <w:t xml:space="preserve">as, laboratorios y </w:t>
            </w:r>
            <w:r w:rsidRPr="00E45DF8">
              <w:rPr>
                <w:rFonts w:eastAsia="Times New Roman" w:cstheme="minorHAnsi"/>
                <w:lang w:eastAsia="es-ES"/>
              </w:rPr>
              <w:t>laboratorios</w:t>
            </w:r>
          </w:p>
        </w:tc>
      </w:tr>
      <w:tr w:rsidR="00E45DF8" w:rsidRPr="00E45DF8" w:rsidTr="009476DB">
        <w:trPr>
          <w:trHeight w:val="558"/>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CUNORTE</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aulas y laboratorios</w:t>
            </w:r>
          </w:p>
        </w:tc>
      </w:tr>
      <w:tr w:rsidR="00E45DF8" w:rsidRPr="00E45DF8" w:rsidTr="009476DB">
        <w:trPr>
          <w:trHeight w:val="269"/>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CUNORTE</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Construcción de Edificio</w:t>
            </w:r>
            <w:r w:rsidRPr="00E45DF8">
              <w:rPr>
                <w:rFonts w:eastAsia="Times New Roman" w:cstheme="minorHAnsi"/>
                <w:color w:val="000000"/>
                <w:lang w:eastAsia="es-ES"/>
              </w:rPr>
              <w:t xml:space="preserve"> académico</w:t>
            </w:r>
          </w:p>
        </w:tc>
      </w:tr>
      <w:tr w:rsidR="00E45DF8" w:rsidRPr="00E45DF8" w:rsidTr="009476DB">
        <w:trPr>
          <w:trHeight w:val="603"/>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ZMG</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CUCEI</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Edificio para laboratorios y cubículos de Electrónica</w:t>
            </w:r>
          </w:p>
        </w:tc>
      </w:tr>
      <w:tr w:rsidR="00E45DF8" w:rsidRPr="00E45DF8" w:rsidTr="009476DB">
        <w:trPr>
          <w:trHeight w:val="381"/>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CUCIENEGA</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Laboratorio de Biotecnología.</w:t>
            </w:r>
          </w:p>
        </w:tc>
      </w:tr>
      <w:tr w:rsidR="00E45DF8" w:rsidRPr="00E45DF8" w:rsidTr="009476DB">
        <w:trPr>
          <w:trHeight w:val="544"/>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R</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CUALTOS</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Clínica de pequeñas especies</w:t>
            </w:r>
          </w:p>
        </w:tc>
      </w:tr>
      <w:tr w:rsidR="00E45DF8" w:rsidRPr="00E45DF8" w:rsidTr="009476DB">
        <w:trPr>
          <w:trHeight w:val="569"/>
        </w:trPr>
        <w:tc>
          <w:tcPr>
            <w:tcW w:w="2141" w:type="pct"/>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ZMG</w:t>
            </w:r>
          </w:p>
        </w:tc>
        <w:tc>
          <w:tcPr>
            <w:tcW w:w="1074"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CUAAD</w:t>
            </w:r>
          </w:p>
        </w:tc>
        <w:tc>
          <w:tcPr>
            <w:tcW w:w="1785" w:type="pct"/>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Adecuación de espacios para cubículos, oficinas y aulas</w:t>
            </w:r>
          </w:p>
        </w:tc>
      </w:tr>
      <w:tr w:rsidR="00E45DF8" w:rsidRPr="00E45DF8" w:rsidTr="009476DB">
        <w:trPr>
          <w:trHeight w:val="279"/>
        </w:trPr>
        <w:tc>
          <w:tcPr>
            <w:tcW w:w="2141" w:type="pct"/>
            <w:shd w:val="clear" w:color="auto" w:fill="EFD3D2"/>
            <w:noWrap/>
            <w:hideMark/>
          </w:tcPr>
          <w:p w:rsidR="00E45DF8" w:rsidRPr="00E45DF8" w:rsidRDefault="00E45DF8" w:rsidP="00E45DF8">
            <w:pPr>
              <w:spacing w:after="0" w:line="240" w:lineRule="auto"/>
              <w:jc w:val="center"/>
              <w:rPr>
                <w:rFonts w:eastAsia="Times New Roman" w:cstheme="minorHAnsi"/>
                <w:b/>
                <w:bCs/>
                <w:lang w:eastAsia="es-ES"/>
              </w:rPr>
            </w:pPr>
            <w:r w:rsidRPr="00E45DF8">
              <w:rPr>
                <w:rFonts w:eastAsia="Times New Roman" w:cstheme="minorHAnsi"/>
                <w:b/>
                <w:bCs/>
                <w:lang w:eastAsia="es-ES"/>
              </w:rPr>
              <w:t>ZMG</w:t>
            </w:r>
          </w:p>
        </w:tc>
        <w:tc>
          <w:tcPr>
            <w:tcW w:w="1074"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CUCS</w:t>
            </w:r>
          </w:p>
        </w:tc>
        <w:tc>
          <w:tcPr>
            <w:tcW w:w="1785" w:type="pct"/>
            <w:shd w:val="clear" w:color="auto" w:fill="EFD3D2"/>
            <w:hideMark/>
          </w:tcPr>
          <w:p w:rsidR="00E45DF8" w:rsidRPr="00E45DF8" w:rsidRDefault="00E45DF8" w:rsidP="00E45DF8">
            <w:pPr>
              <w:spacing w:after="0" w:line="240" w:lineRule="auto"/>
              <w:jc w:val="center"/>
              <w:rPr>
                <w:rFonts w:eastAsia="Times New Roman" w:cstheme="minorHAnsi"/>
                <w:lang w:eastAsia="es-ES"/>
              </w:rPr>
            </w:pPr>
            <w:r w:rsidRPr="00E45DF8">
              <w:rPr>
                <w:rFonts w:eastAsia="Times New Roman" w:cstheme="minorHAnsi"/>
                <w:lang w:eastAsia="es-ES"/>
              </w:rPr>
              <w:t>Adecuación de espacios para aulas</w:t>
            </w:r>
          </w:p>
        </w:tc>
      </w:tr>
    </w:tbl>
    <w:p w:rsidR="00E45DF8" w:rsidRPr="00E45DF8" w:rsidRDefault="00E45DF8" w:rsidP="00E45DF8">
      <w:pPr>
        <w:tabs>
          <w:tab w:val="left" w:pos="700"/>
        </w:tabs>
        <w:spacing w:after="0" w:line="240" w:lineRule="auto"/>
        <w:jc w:val="right"/>
        <w:rPr>
          <w:rFonts w:eastAsia="Times New Roman" w:cstheme="minorHAnsi"/>
          <w:b/>
          <w:bCs/>
          <w:smallCaps/>
          <w:lang w:eastAsia="es-MX"/>
        </w:rPr>
      </w:pPr>
    </w:p>
    <w:p w:rsidR="00E45DF8" w:rsidRPr="00E45DF8" w:rsidRDefault="00E45DF8" w:rsidP="00E45DF8">
      <w:pPr>
        <w:jc w:val="both"/>
        <w:rPr>
          <w:rFonts w:cstheme="minorHAnsi"/>
        </w:rPr>
      </w:pPr>
      <w:r w:rsidRPr="00E45DF8">
        <w:rPr>
          <w:rFonts w:cstheme="minorHAnsi"/>
        </w:rPr>
        <w:t xml:space="preserve">Una de las medidas que ha adoptado la Institución, en cuanto al incremento de la matrícula, ha sido aprovechar tanto la infraestructura como los recursos materiales y humanos con los que se cuentan. Para la Institución ha resultado imprescindible el uso de los recursos otorgados en 2009 para estar en condiciones de ampliar los beneficios de una educación de calidad a un mayor número de estudiantes que demandan este tipo de servicios. </w:t>
      </w:r>
    </w:p>
    <w:p w:rsidR="00E45DF8" w:rsidRDefault="00E45DF8" w:rsidP="00E45DF8">
      <w:pPr>
        <w:jc w:val="both"/>
        <w:rPr>
          <w:rFonts w:cstheme="minorHAnsi"/>
        </w:rPr>
      </w:pPr>
      <w:r w:rsidRPr="00E45DF8">
        <w:rPr>
          <w:rFonts w:cstheme="minorHAnsi"/>
        </w:rPr>
        <w:t xml:space="preserve">Finalmente,  y de manera adicional a la matrícula que ha sido beneficiada en los CU, </w:t>
      </w:r>
      <w:r>
        <w:rPr>
          <w:rFonts w:cstheme="minorHAnsi"/>
        </w:rPr>
        <w:t xml:space="preserve">en la Tabla 3 se presentan </w:t>
      </w:r>
      <w:r w:rsidRPr="00E45DF8">
        <w:rPr>
          <w:rFonts w:cstheme="minorHAnsi"/>
        </w:rPr>
        <w:t xml:space="preserve">algunos indicadores institucionales de competitividad académica </w:t>
      </w:r>
      <w:r>
        <w:rPr>
          <w:rFonts w:cstheme="minorHAnsi"/>
        </w:rPr>
        <w:t xml:space="preserve">que también </w:t>
      </w:r>
      <w:r w:rsidRPr="00E45DF8">
        <w:rPr>
          <w:rFonts w:cstheme="minorHAnsi"/>
        </w:rPr>
        <w:t xml:space="preserve"> tuvieron una evolución favorable en el año que se reporta:</w:t>
      </w:r>
    </w:p>
    <w:p w:rsidR="00055AB2" w:rsidRDefault="00055AB2" w:rsidP="00E45DF8">
      <w:pPr>
        <w:jc w:val="both"/>
        <w:rPr>
          <w:rFonts w:cstheme="minorHAnsi"/>
        </w:rPr>
      </w:pPr>
    </w:p>
    <w:p w:rsidR="00055AB2" w:rsidRDefault="00817831" w:rsidP="00E45DF8">
      <w:pPr>
        <w:jc w:val="both"/>
        <w:rPr>
          <w:rFonts w:cstheme="minorHAnsi"/>
        </w:rPr>
      </w:pPr>
      <w:r>
        <w:rPr>
          <w:rFonts w:cstheme="minorHAnsi"/>
          <w:noProof/>
          <w:lang w:eastAsia="es-MX"/>
        </w:rPr>
        <w:lastRenderedPageBreak/>
        <w:pict>
          <v:shape id="_x0000_s1029" type="#_x0000_t75" style="position:absolute;left:0;text-align:left;margin-left:0;margin-top:-24.7pt;width:442pt;height:43pt;z-index:251662336;mso-position-horizontal-relative:text;mso-position-vertical-relative:text">
            <v:imagedata r:id="rId7" o:title=""/>
          </v:shape>
          <o:OLEObject Type="Embed" ProgID="CorelDRAW.Graphic.13" ShapeID="_x0000_s1029" DrawAspect="Content" ObjectID="_1361446362" r:id="rId10"/>
        </w:pict>
      </w:r>
    </w:p>
    <w:p w:rsidR="00055AB2" w:rsidRPr="00E45DF8" w:rsidRDefault="00055AB2" w:rsidP="00E45DF8">
      <w:pPr>
        <w:jc w:val="both"/>
        <w:rPr>
          <w:rFonts w:cstheme="minorHAnsi"/>
        </w:rPr>
      </w:pPr>
    </w:p>
    <w:p w:rsidR="00E45DF8" w:rsidRPr="00E45DF8" w:rsidRDefault="00E45DF8" w:rsidP="00E45DF8">
      <w:pPr>
        <w:spacing w:after="0" w:line="240" w:lineRule="auto"/>
        <w:rPr>
          <w:rFonts w:eastAsia="Times New Roman" w:cstheme="minorHAnsi"/>
          <w:noProof/>
          <w:lang w:eastAsia="es-ES"/>
        </w:rPr>
      </w:pPr>
    </w:p>
    <w:p w:rsidR="00E45DF8" w:rsidRPr="00E45DF8" w:rsidRDefault="00E45DF8" w:rsidP="00E45DF8">
      <w:pPr>
        <w:pBdr>
          <w:bottom w:val="single" w:sz="4" w:space="1" w:color="auto"/>
        </w:pBdr>
        <w:autoSpaceDE w:val="0"/>
        <w:autoSpaceDN w:val="0"/>
        <w:spacing w:after="0" w:line="240" w:lineRule="auto"/>
        <w:jc w:val="center"/>
        <w:rPr>
          <w:rFonts w:eastAsia="Times New Roman" w:cstheme="minorHAnsi"/>
          <w:b/>
          <w:smallCaps/>
          <w:lang w:val="es-ES" w:eastAsia="es-MX"/>
        </w:rPr>
      </w:pPr>
      <w:r w:rsidRPr="00E45DF8">
        <w:rPr>
          <w:rFonts w:eastAsia="Times New Roman" w:cstheme="minorHAnsi"/>
          <w:b/>
          <w:smallCaps/>
          <w:lang w:val="es-ES" w:eastAsia="es-MX"/>
        </w:rPr>
        <w:t xml:space="preserve">Tabla </w:t>
      </w:r>
      <w:r w:rsidR="004D3613">
        <w:rPr>
          <w:rFonts w:eastAsia="Times New Roman" w:cstheme="minorHAnsi"/>
          <w:b/>
          <w:smallCaps/>
          <w:lang w:val="es-ES" w:eastAsia="es-MX"/>
        </w:rPr>
        <w:t>3</w:t>
      </w:r>
    </w:p>
    <w:p w:rsidR="00E45DF8" w:rsidRPr="00E45DF8" w:rsidRDefault="00E45DF8" w:rsidP="00E45DF8">
      <w:pPr>
        <w:pBdr>
          <w:bottom w:val="single" w:sz="4" w:space="1" w:color="auto"/>
        </w:pBdr>
        <w:autoSpaceDE w:val="0"/>
        <w:autoSpaceDN w:val="0"/>
        <w:spacing w:after="0" w:line="240" w:lineRule="auto"/>
        <w:jc w:val="center"/>
        <w:rPr>
          <w:rFonts w:eastAsia="Times New Roman" w:cstheme="minorHAnsi"/>
          <w:b/>
          <w:smallCaps/>
          <w:lang w:val="es-ES" w:eastAsia="es-MX"/>
        </w:rPr>
      </w:pPr>
      <w:r w:rsidRPr="00E45DF8">
        <w:rPr>
          <w:rFonts w:eastAsia="Times New Roman" w:cstheme="minorHAnsi"/>
          <w:b/>
          <w:smallCaps/>
          <w:lang w:val="es-ES" w:eastAsia="es-MX"/>
        </w:rPr>
        <w:t>Evolución de los principales indicadores de capacidad y competitividad, 2009-2010</w:t>
      </w:r>
    </w:p>
    <w:tbl>
      <w:tblPr>
        <w:tblW w:w="5000" w:type="pct"/>
        <w:tblBorders>
          <w:top w:val="single" w:sz="8" w:space="0" w:color="C0504D"/>
          <w:bottom w:val="single" w:sz="8" w:space="0" w:color="C0504D"/>
        </w:tblBorders>
        <w:tblLook w:val="04A0" w:firstRow="1" w:lastRow="0" w:firstColumn="1" w:lastColumn="0" w:noHBand="0" w:noVBand="1"/>
      </w:tblPr>
      <w:tblGrid>
        <w:gridCol w:w="5766"/>
        <w:gridCol w:w="1642"/>
        <w:gridCol w:w="1646"/>
      </w:tblGrid>
      <w:tr w:rsidR="00E45DF8" w:rsidRPr="00E45DF8" w:rsidTr="009476DB">
        <w:trPr>
          <w:trHeight w:val="330"/>
        </w:trPr>
        <w:tc>
          <w:tcPr>
            <w:tcW w:w="3184" w:type="pct"/>
            <w:hideMark/>
          </w:tcPr>
          <w:p w:rsidR="00E45DF8" w:rsidRPr="00E45DF8" w:rsidRDefault="00E45DF8" w:rsidP="00E45DF8">
            <w:pPr>
              <w:spacing w:after="0" w:line="240" w:lineRule="auto"/>
              <w:rPr>
                <w:rFonts w:eastAsia="Times New Roman" w:cstheme="minorHAnsi"/>
                <w:smallCaps/>
                <w:lang w:eastAsia="es-MX"/>
              </w:rPr>
            </w:pPr>
            <w:r w:rsidRPr="00E45DF8">
              <w:rPr>
                <w:rFonts w:eastAsia="Times New Roman" w:cstheme="minorHAnsi"/>
                <w:smallCaps/>
                <w:lang w:eastAsia="es-MX"/>
              </w:rPr>
              <w:t>PE de Licenciatura y TSU acreditados</w:t>
            </w:r>
          </w:p>
        </w:tc>
        <w:tc>
          <w:tcPr>
            <w:tcW w:w="907" w:type="pct"/>
            <w:hideMark/>
          </w:tcPr>
          <w:p w:rsidR="00E45DF8" w:rsidRPr="00E45DF8" w:rsidRDefault="00E45DF8" w:rsidP="00E45DF8">
            <w:pPr>
              <w:spacing w:after="0" w:line="240" w:lineRule="auto"/>
              <w:jc w:val="center"/>
              <w:rPr>
                <w:rFonts w:eastAsia="Times New Roman" w:cstheme="minorHAnsi"/>
                <w:lang w:eastAsia="es-MX"/>
              </w:rPr>
            </w:pPr>
            <w:r w:rsidRPr="00E45DF8">
              <w:rPr>
                <w:rFonts w:eastAsia="Times New Roman" w:cstheme="minorHAnsi"/>
                <w:lang w:eastAsia="es-MX"/>
              </w:rPr>
              <w:t>80</w:t>
            </w:r>
          </w:p>
        </w:tc>
        <w:tc>
          <w:tcPr>
            <w:tcW w:w="909" w:type="pct"/>
          </w:tcPr>
          <w:p w:rsidR="00E45DF8" w:rsidRPr="00E45DF8" w:rsidRDefault="00E45DF8" w:rsidP="00E45DF8">
            <w:pPr>
              <w:spacing w:after="0" w:line="240" w:lineRule="auto"/>
              <w:jc w:val="center"/>
              <w:rPr>
                <w:rFonts w:eastAsia="Times New Roman" w:cstheme="minorHAnsi"/>
                <w:lang w:eastAsia="es-MX"/>
              </w:rPr>
            </w:pPr>
            <w:r w:rsidRPr="00E45DF8">
              <w:rPr>
                <w:rFonts w:eastAsia="Times New Roman" w:cstheme="minorHAnsi"/>
                <w:lang w:eastAsia="es-MX"/>
              </w:rPr>
              <w:t>85</w:t>
            </w:r>
          </w:p>
        </w:tc>
      </w:tr>
      <w:tr w:rsidR="00E45DF8" w:rsidRPr="00E45DF8" w:rsidTr="009476DB">
        <w:trPr>
          <w:trHeight w:val="359"/>
        </w:trPr>
        <w:tc>
          <w:tcPr>
            <w:tcW w:w="3184" w:type="pct"/>
            <w:hideMark/>
          </w:tcPr>
          <w:p w:rsidR="00E45DF8" w:rsidRPr="00E45DF8" w:rsidRDefault="00E45DF8" w:rsidP="00E45DF8">
            <w:pPr>
              <w:spacing w:after="0" w:line="240" w:lineRule="auto"/>
              <w:rPr>
                <w:rFonts w:eastAsia="Times New Roman" w:cstheme="minorHAnsi"/>
                <w:b/>
                <w:bCs/>
                <w:smallCaps/>
                <w:lang w:eastAsia="es-MX"/>
              </w:rPr>
            </w:pPr>
            <w:r w:rsidRPr="00E45DF8">
              <w:rPr>
                <w:rFonts w:eastAsia="Times New Roman" w:cstheme="minorHAnsi"/>
                <w:smallCaps/>
                <w:lang w:eastAsia="es-MX"/>
              </w:rPr>
              <w:t>PE en PNPC</w:t>
            </w:r>
          </w:p>
        </w:tc>
        <w:tc>
          <w:tcPr>
            <w:tcW w:w="907" w:type="pct"/>
            <w:hideMark/>
          </w:tcPr>
          <w:p w:rsidR="00E45DF8" w:rsidRPr="00E45DF8" w:rsidRDefault="00E45DF8" w:rsidP="00E45DF8">
            <w:pPr>
              <w:spacing w:after="0" w:line="240" w:lineRule="auto"/>
              <w:jc w:val="center"/>
              <w:rPr>
                <w:rFonts w:eastAsia="Times New Roman" w:cstheme="minorHAnsi"/>
                <w:lang w:eastAsia="es-MX"/>
              </w:rPr>
            </w:pPr>
            <w:r w:rsidRPr="00E45DF8">
              <w:rPr>
                <w:rFonts w:eastAsia="Times New Roman" w:cstheme="minorHAnsi"/>
                <w:lang w:eastAsia="es-MX"/>
              </w:rPr>
              <w:t>58</w:t>
            </w:r>
          </w:p>
        </w:tc>
        <w:tc>
          <w:tcPr>
            <w:tcW w:w="909" w:type="pct"/>
          </w:tcPr>
          <w:p w:rsidR="00E45DF8" w:rsidRPr="00E45DF8" w:rsidRDefault="00E45DF8" w:rsidP="00E45DF8">
            <w:pPr>
              <w:spacing w:after="0" w:line="240" w:lineRule="auto"/>
              <w:jc w:val="center"/>
              <w:rPr>
                <w:rFonts w:eastAsia="Times New Roman" w:cstheme="minorHAnsi"/>
                <w:lang w:eastAsia="es-MX"/>
              </w:rPr>
            </w:pPr>
            <w:r w:rsidRPr="00E45DF8">
              <w:rPr>
                <w:rFonts w:eastAsia="Times New Roman" w:cstheme="minorHAnsi"/>
                <w:lang w:eastAsia="es-MX"/>
              </w:rPr>
              <w:t>75</w:t>
            </w:r>
          </w:p>
        </w:tc>
      </w:tr>
      <w:tr w:rsidR="00E45DF8" w:rsidRPr="00E45DF8" w:rsidTr="00E45DF8">
        <w:trPr>
          <w:trHeight w:val="340"/>
        </w:trPr>
        <w:tc>
          <w:tcPr>
            <w:tcW w:w="3184" w:type="pct"/>
            <w:hideMark/>
          </w:tcPr>
          <w:p w:rsidR="00E45DF8" w:rsidRPr="00E45DF8" w:rsidRDefault="00E45DF8" w:rsidP="00E45DF8">
            <w:pPr>
              <w:spacing w:after="0" w:line="240" w:lineRule="auto"/>
              <w:rPr>
                <w:rFonts w:eastAsia="Times New Roman" w:cstheme="minorHAnsi"/>
                <w:smallCaps/>
                <w:lang w:val="es-ES" w:eastAsia="es-MX"/>
              </w:rPr>
            </w:pPr>
            <w:r w:rsidRPr="00E45DF8">
              <w:rPr>
                <w:rFonts w:eastAsia="Times New Roman" w:cstheme="minorHAnsi"/>
                <w:smallCaps/>
                <w:lang w:eastAsia="es-MX"/>
              </w:rPr>
              <w:t>PE de pregrado nivel 1</w:t>
            </w:r>
          </w:p>
          <w:p w:rsidR="00E45DF8" w:rsidRPr="00E45DF8" w:rsidRDefault="00E45DF8" w:rsidP="00E45DF8">
            <w:pPr>
              <w:spacing w:after="0" w:line="240" w:lineRule="auto"/>
              <w:rPr>
                <w:rFonts w:eastAsia="Times New Roman" w:cstheme="minorHAnsi"/>
                <w:b/>
                <w:bCs/>
                <w:smallCaps/>
                <w:lang w:eastAsia="es-MX"/>
              </w:rPr>
            </w:pPr>
          </w:p>
        </w:tc>
        <w:tc>
          <w:tcPr>
            <w:tcW w:w="907" w:type="pct"/>
            <w:hideMark/>
          </w:tcPr>
          <w:p w:rsidR="00E45DF8" w:rsidRPr="00E45DF8" w:rsidRDefault="00E45DF8" w:rsidP="00E45DF8">
            <w:pPr>
              <w:spacing w:after="0" w:line="240" w:lineRule="auto"/>
              <w:jc w:val="center"/>
              <w:rPr>
                <w:rFonts w:eastAsia="Times New Roman" w:cstheme="minorHAnsi"/>
                <w:lang w:val="en-US" w:eastAsia="es-MX"/>
              </w:rPr>
            </w:pPr>
            <w:r w:rsidRPr="00E45DF8">
              <w:rPr>
                <w:rFonts w:eastAsia="Times New Roman" w:cstheme="minorHAnsi"/>
                <w:lang w:val="en-US" w:eastAsia="es-MX"/>
              </w:rPr>
              <w:t>100</w:t>
            </w:r>
          </w:p>
        </w:tc>
        <w:tc>
          <w:tcPr>
            <w:tcW w:w="909" w:type="pct"/>
          </w:tcPr>
          <w:p w:rsidR="00E45DF8" w:rsidRPr="00E45DF8" w:rsidRDefault="00E45DF8" w:rsidP="00E45DF8">
            <w:pPr>
              <w:spacing w:after="0" w:line="240" w:lineRule="auto"/>
              <w:jc w:val="center"/>
              <w:rPr>
                <w:rFonts w:eastAsia="Times New Roman" w:cstheme="minorHAnsi"/>
                <w:lang w:val="en-US" w:eastAsia="es-MX"/>
              </w:rPr>
            </w:pPr>
            <w:r w:rsidRPr="00E45DF8">
              <w:rPr>
                <w:rFonts w:eastAsia="Times New Roman" w:cstheme="minorHAnsi"/>
                <w:lang w:val="en-US" w:eastAsia="es-MX"/>
              </w:rPr>
              <w:t>107</w:t>
            </w:r>
          </w:p>
        </w:tc>
      </w:tr>
      <w:tr w:rsidR="00E45DF8" w:rsidRPr="00E45DF8" w:rsidTr="00E45DF8">
        <w:trPr>
          <w:trHeight w:val="376"/>
        </w:trPr>
        <w:tc>
          <w:tcPr>
            <w:tcW w:w="3184" w:type="pct"/>
            <w:hideMark/>
          </w:tcPr>
          <w:p w:rsidR="00E45DF8" w:rsidRPr="00E45DF8" w:rsidRDefault="00E45DF8" w:rsidP="00E45DF8">
            <w:pPr>
              <w:spacing w:after="0" w:line="240" w:lineRule="auto"/>
              <w:rPr>
                <w:rFonts w:eastAsia="Times New Roman" w:cstheme="minorHAnsi"/>
                <w:smallCaps/>
                <w:lang w:val="es-ES" w:eastAsia="es-MX"/>
              </w:rPr>
            </w:pPr>
            <w:r w:rsidRPr="00E45DF8">
              <w:rPr>
                <w:rFonts w:eastAsia="Times New Roman" w:cstheme="minorHAnsi"/>
                <w:smallCaps/>
                <w:lang w:eastAsia="es-MX"/>
              </w:rPr>
              <w:t>Matrícula en PE de pregrado de Calidad</w:t>
            </w:r>
          </w:p>
          <w:p w:rsidR="00E45DF8" w:rsidRPr="00E45DF8" w:rsidRDefault="00E45DF8" w:rsidP="00E45DF8">
            <w:pPr>
              <w:spacing w:after="0" w:line="240" w:lineRule="auto"/>
              <w:rPr>
                <w:rFonts w:eastAsia="Times New Roman" w:cstheme="minorHAnsi"/>
                <w:b/>
                <w:bCs/>
                <w:smallCaps/>
                <w:lang w:val="es-ES" w:eastAsia="es-MX"/>
              </w:rPr>
            </w:pPr>
          </w:p>
        </w:tc>
        <w:tc>
          <w:tcPr>
            <w:tcW w:w="907" w:type="pct"/>
            <w:hideMark/>
          </w:tcPr>
          <w:p w:rsidR="00E45DF8" w:rsidRPr="00E45DF8" w:rsidRDefault="00E45DF8" w:rsidP="00E45DF8">
            <w:pPr>
              <w:spacing w:after="0" w:line="240" w:lineRule="auto"/>
              <w:jc w:val="center"/>
              <w:rPr>
                <w:rFonts w:eastAsia="Times New Roman" w:cstheme="minorHAnsi"/>
                <w:lang w:eastAsia="es-MX"/>
              </w:rPr>
            </w:pPr>
            <w:r w:rsidRPr="00E45DF8">
              <w:rPr>
                <w:rFonts w:eastAsia="Times New Roman" w:cstheme="minorHAnsi"/>
                <w:lang w:val="en-US" w:eastAsia="es-MX"/>
              </w:rPr>
              <w:t>66,293</w:t>
            </w:r>
          </w:p>
        </w:tc>
        <w:tc>
          <w:tcPr>
            <w:tcW w:w="909" w:type="pct"/>
          </w:tcPr>
          <w:p w:rsidR="00E45DF8" w:rsidRPr="00E45DF8" w:rsidRDefault="00E45DF8" w:rsidP="00E45DF8">
            <w:pPr>
              <w:spacing w:after="0" w:line="360" w:lineRule="auto"/>
              <w:jc w:val="center"/>
              <w:rPr>
                <w:rFonts w:eastAsia="Times New Roman" w:cstheme="minorHAnsi"/>
                <w:lang w:eastAsia="es-MX"/>
              </w:rPr>
            </w:pPr>
            <w:r w:rsidRPr="00E45DF8">
              <w:rPr>
                <w:rFonts w:eastAsia="Times New Roman" w:cstheme="minorHAnsi"/>
                <w:lang w:val="en-US" w:eastAsia="es-MX"/>
              </w:rPr>
              <w:t>67,569</w:t>
            </w:r>
          </w:p>
        </w:tc>
      </w:tr>
    </w:tbl>
    <w:p w:rsidR="00E45DF8" w:rsidRPr="00E45DF8" w:rsidRDefault="00E45DF8" w:rsidP="00E45DF8">
      <w:pPr>
        <w:pBdr>
          <w:bottom w:val="single" w:sz="4" w:space="3" w:color="auto"/>
        </w:pBdr>
        <w:autoSpaceDE w:val="0"/>
        <w:autoSpaceDN w:val="0"/>
        <w:spacing w:after="0" w:line="240" w:lineRule="auto"/>
        <w:jc w:val="both"/>
        <w:rPr>
          <w:rFonts w:eastAsia="Times New Roman" w:cstheme="minorHAnsi"/>
          <w:i/>
          <w:color w:val="000000"/>
          <w:sz w:val="16"/>
          <w:szCs w:val="16"/>
          <w:lang w:val="es-ES" w:eastAsia="es-ES"/>
        </w:rPr>
      </w:pPr>
      <w:r w:rsidRPr="00E45DF8">
        <w:rPr>
          <w:rFonts w:eastAsia="Times New Roman" w:cstheme="minorHAnsi"/>
          <w:b/>
          <w:bCs/>
          <w:sz w:val="16"/>
          <w:szCs w:val="16"/>
          <w:lang w:eastAsia="es-MX"/>
        </w:rPr>
        <w:t>Fuente:</w:t>
      </w:r>
      <w:r w:rsidRPr="00E45DF8">
        <w:rPr>
          <w:rFonts w:eastAsia="Times New Roman" w:cstheme="minorHAnsi"/>
          <w:sz w:val="16"/>
          <w:szCs w:val="16"/>
          <w:lang w:eastAsia="es-MX"/>
        </w:rPr>
        <w:t xml:space="preserve"> </w:t>
      </w:r>
      <w:proofErr w:type="spellStart"/>
      <w:r w:rsidRPr="00E45DF8">
        <w:rPr>
          <w:rFonts w:eastAsia="Times New Roman" w:cstheme="minorHAnsi"/>
          <w:sz w:val="16"/>
          <w:szCs w:val="16"/>
          <w:lang w:eastAsia="es-MX"/>
        </w:rPr>
        <w:t>Numeralia</w:t>
      </w:r>
      <w:proofErr w:type="spellEnd"/>
      <w:r w:rsidRPr="00E45DF8">
        <w:rPr>
          <w:rFonts w:eastAsia="Times New Roman" w:cstheme="minorHAnsi"/>
          <w:sz w:val="16"/>
          <w:szCs w:val="16"/>
          <w:lang w:eastAsia="es-MX"/>
        </w:rPr>
        <w:t xml:space="preserve"> institucional, Universidad de Guadalajara Coordinación de Planeación y Desarrollo Institucional (COPLADI), </w:t>
      </w:r>
      <w:r w:rsidRPr="00E45DF8">
        <w:rPr>
          <w:rFonts w:eastAsia="Times New Roman" w:cstheme="minorHAnsi"/>
          <w:sz w:val="16"/>
          <w:szCs w:val="16"/>
          <w:lang w:val="es-ES" w:eastAsia="es-MX"/>
        </w:rPr>
        <w:t>Enero 2010.</w:t>
      </w:r>
      <w:r w:rsidRPr="00E45DF8">
        <w:rPr>
          <w:rFonts w:eastAsia="Times New Roman" w:cstheme="minorHAnsi"/>
          <w:i/>
          <w:color w:val="000000"/>
          <w:sz w:val="16"/>
          <w:szCs w:val="16"/>
          <w:lang w:val="es-ES" w:eastAsia="es-ES"/>
        </w:rPr>
        <w:t xml:space="preserve"> </w:t>
      </w:r>
    </w:p>
    <w:p w:rsidR="00E45DF8" w:rsidRPr="00E45DF8" w:rsidRDefault="00E45DF8" w:rsidP="00144C23">
      <w:pPr>
        <w:jc w:val="both"/>
        <w:rPr>
          <w:rFonts w:cstheme="minorHAnsi"/>
          <w:lang w:val="es-ES"/>
        </w:rPr>
      </w:pPr>
    </w:p>
    <w:p w:rsidR="00976C70" w:rsidRDefault="00976C70" w:rsidP="00144C23">
      <w:pPr>
        <w:jc w:val="both"/>
      </w:pPr>
      <w:r w:rsidRPr="00E45DF8">
        <w:rPr>
          <w:rFonts w:cstheme="minorHAnsi"/>
        </w:rPr>
        <w:t xml:space="preserve">Por último, la mejora en cuanto a la infraestructura de información y comunicación para el apoyo de programas educativos </w:t>
      </w:r>
      <w:r w:rsidR="00E45DF8">
        <w:rPr>
          <w:rFonts w:cstheme="minorHAnsi"/>
        </w:rPr>
        <w:t>ofrecidos</w:t>
      </w:r>
      <w:r w:rsidRPr="00E45DF8">
        <w:rPr>
          <w:rFonts w:cstheme="minorHAnsi"/>
        </w:rPr>
        <w:t xml:space="preserve"> a través del Sistema de Universidad Virtual, permitirá incrementar la cobertura educativa en programas de licenciatura y posgrado, llegando a aquellas regiones en las que la institución no  cuenta con</w:t>
      </w:r>
      <w:r>
        <w:t xml:space="preserve"> presencia física a través de un campus.</w:t>
      </w:r>
    </w:p>
    <w:sectPr w:rsidR="00976C70" w:rsidSect="00B472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44C23"/>
    <w:rsid w:val="00055AB2"/>
    <w:rsid w:val="00075782"/>
    <w:rsid w:val="00144C23"/>
    <w:rsid w:val="003916BA"/>
    <w:rsid w:val="00414954"/>
    <w:rsid w:val="004D3613"/>
    <w:rsid w:val="00817831"/>
    <w:rsid w:val="00976C70"/>
    <w:rsid w:val="009B1C0C"/>
    <w:rsid w:val="00A418EB"/>
    <w:rsid w:val="00B47250"/>
    <w:rsid w:val="00BC5340"/>
    <w:rsid w:val="00DC55A1"/>
    <w:rsid w:val="00DC66A7"/>
    <w:rsid w:val="00E45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A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Angie</cp:lastModifiedBy>
  <cp:revision>2</cp:revision>
  <cp:lastPrinted>2011-03-10T22:34:00Z</cp:lastPrinted>
  <dcterms:created xsi:type="dcterms:W3CDTF">2011-03-12T20:46:00Z</dcterms:created>
  <dcterms:modified xsi:type="dcterms:W3CDTF">2011-03-12T20:46:00Z</dcterms:modified>
</cp:coreProperties>
</file>